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98" w:rsidRDefault="007D7098" w:rsidP="007D7098">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proofErr w:type="spellStart"/>
      <w:r w:rsidRPr="009302FF">
        <w:rPr>
          <w:rFonts w:ascii="Times New Roman" w:eastAsia="Times New Roman" w:hAnsi="Times New Roman" w:cs="Times New Roman"/>
          <w:color w:val="000000"/>
          <w:sz w:val="24"/>
          <w:szCs w:val="24"/>
          <w:lang w:eastAsia="fr-FR"/>
        </w:rPr>
        <w:t>Latanoprost</w:t>
      </w:r>
      <w:proofErr w:type="spellEnd"/>
      <w:r>
        <w:rPr>
          <w:rFonts w:ascii="Times New Roman" w:eastAsia="Times New Roman" w:hAnsi="Times New Roman" w:cs="Times New Roman"/>
          <w:color w:val="000000"/>
          <w:sz w:val="24"/>
          <w:szCs w:val="24"/>
          <w:lang w:eastAsia="fr-FR"/>
        </w:rPr>
        <w:t xml:space="preserve"> </w:t>
      </w:r>
      <w:r w:rsidRPr="009302FF">
        <w:rPr>
          <w:rFonts w:ascii="Verdana" w:eastAsia="Times New Roman" w:hAnsi="Verdana" w:cs="Times New Roman"/>
          <w:b/>
          <w:bCs/>
          <w:color w:val="990000"/>
          <w:sz w:val="24"/>
          <w:szCs w:val="24"/>
          <w:lang w:eastAsia="fr-FR"/>
        </w:rPr>
        <w:t>PHARMACODYNAMIE</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b/>
          <w:bCs/>
          <w:color w:val="000000"/>
          <w:sz w:val="24"/>
          <w:szCs w:val="24"/>
          <w:lang w:eastAsia="fr-FR"/>
        </w:rPr>
        <w:t xml:space="preserve">Classe </w:t>
      </w:r>
      <w:proofErr w:type="spellStart"/>
      <w:r w:rsidRPr="009302FF">
        <w:rPr>
          <w:rFonts w:ascii="Times New Roman" w:eastAsia="Times New Roman" w:hAnsi="Times New Roman" w:cs="Times New Roman"/>
          <w:b/>
          <w:bCs/>
          <w:color w:val="000000"/>
          <w:sz w:val="24"/>
          <w:szCs w:val="24"/>
          <w:lang w:eastAsia="fr-FR"/>
        </w:rPr>
        <w:t>pharmacothérapeutique</w:t>
      </w:r>
      <w:proofErr w:type="spellEnd"/>
      <w:r w:rsidRPr="009302FF">
        <w:rPr>
          <w:rFonts w:ascii="Times New Roman" w:eastAsia="Times New Roman" w:hAnsi="Times New Roman" w:cs="Times New Roman"/>
          <w:b/>
          <w:bCs/>
          <w:color w:val="000000"/>
          <w:sz w:val="24"/>
          <w:szCs w:val="24"/>
          <w:lang w:eastAsia="fr-FR"/>
        </w:rPr>
        <w:t>: ANALOGUES DE PROSTAGLANDINES</w:t>
      </w:r>
      <w:r w:rsidRPr="009302FF">
        <w:rPr>
          <w:rFonts w:ascii="Times New Roman" w:eastAsia="Times New Roman" w:hAnsi="Times New Roman" w:cs="Times New Roman"/>
          <w:color w:val="000000"/>
          <w:sz w:val="24"/>
          <w:szCs w:val="24"/>
          <w:lang w:eastAsia="fr-FR"/>
        </w:rPr>
        <w:t xml:space="preserv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Code ATC: </w:t>
      </w:r>
      <w:r w:rsidRPr="009302FF">
        <w:rPr>
          <w:rFonts w:ascii="Times New Roman" w:eastAsia="Times New Roman" w:hAnsi="Times New Roman" w:cs="Times New Roman"/>
          <w:b/>
          <w:bCs/>
          <w:color w:val="000000"/>
          <w:sz w:val="24"/>
          <w:szCs w:val="24"/>
          <w:lang w:eastAsia="fr-FR"/>
        </w:rPr>
        <w:t>S01EE01</w:t>
      </w:r>
      <w:r w:rsidRPr="009302FF">
        <w:rPr>
          <w:rFonts w:ascii="Times New Roman" w:eastAsia="Times New Roman" w:hAnsi="Times New Roman" w:cs="Times New Roman"/>
          <w:color w:val="000000"/>
          <w:sz w:val="24"/>
          <w:szCs w:val="24"/>
          <w:lang w:eastAsia="fr-FR"/>
        </w:rPr>
        <w:t xml:space="preserv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Le principe actif,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analogue de la prostaglandine F2α, est un agoniste sélectif des récepteurs FP aux </w:t>
      </w:r>
      <w:proofErr w:type="spellStart"/>
      <w:r w:rsidRPr="009302FF">
        <w:rPr>
          <w:rFonts w:ascii="Times New Roman" w:eastAsia="Times New Roman" w:hAnsi="Times New Roman" w:cs="Times New Roman"/>
          <w:color w:val="000000"/>
          <w:sz w:val="24"/>
          <w:szCs w:val="24"/>
          <w:lang w:eastAsia="fr-FR"/>
        </w:rPr>
        <w:t>prostanoïdes</w:t>
      </w:r>
      <w:proofErr w:type="spellEnd"/>
      <w:r w:rsidRPr="009302FF">
        <w:rPr>
          <w:rFonts w:ascii="Times New Roman" w:eastAsia="Times New Roman" w:hAnsi="Times New Roman" w:cs="Times New Roman"/>
          <w:color w:val="000000"/>
          <w:sz w:val="24"/>
          <w:szCs w:val="24"/>
          <w:lang w:eastAsia="fr-FR"/>
        </w:rPr>
        <w:t xml:space="preserve"> qui abaisse la pression intraoculaire en augmentant l'écoulement de l'humeur aqueuse. Chez l'homme, la diminution de la pression intraoculaire débute environ trois à quatre heures après l'administration de </w:t>
      </w:r>
      <w:r>
        <w:rPr>
          <w:rFonts w:ascii="Times New Roman" w:eastAsia="Times New Roman" w:hAnsi="Times New Roman" w:cs="Times New Roman"/>
          <w:color w:val="000000"/>
          <w:sz w:val="24"/>
          <w:szCs w:val="24"/>
          <w:lang w:eastAsia="fr-FR"/>
        </w:rPr>
        <w:t>ce médicament</w:t>
      </w:r>
      <w:r w:rsidRPr="009302FF">
        <w:rPr>
          <w:rFonts w:ascii="Times New Roman" w:eastAsia="Times New Roman" w:hAnsi="Times New Roman" w:cs="Times New Roman"/>
          <w:color w:val="000000"/>
          <w:sz w:val="24"/>
          <w:szCs w:val="24"/>
          <w:lang w:eastAsia="fr-FR"/>
        </w:rPr>
        <w:t xml:space="preserve">, et l'effet maximum est observé au bout de huit à douze heures. La réduction de la pression est maintenue pendant au moins 24 heures.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Des études conduites chez les animaux et chez l'homme indiquent que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agit principalement en augmentant l'écoulement par la voie </w:t>
      </w:r>
      <w:proofErr w:type="spellStart"/>
      <w:r w:rsidRPr="009302FF">
        <w:rPr>
          <w:rFonts w:ascii="Times New Roman" w:eastAsia="Times New Roman" w:hAnsi="Times New Roman" w:cs="Times New Roman"/>
          <w:color w:val="000000"/>
          <w:sz w:val="24"/>
          <w:szCs w:val="24"/>
          <w:lang w:eastAsia="fr-FR"/>
        </w:rPr>
        <w:t>uvéosclérale</w:t>
      </w:r>
      <w:proofErr w:type="spellEnd"/>
      <w:r w:rsidRPr="009302FF">
        <w:rPr>
          <w:rFonts w:ascii="Times New Roman" w:eastAsia="Times New Roman" w:hAnsi="Times New Roman" w:cs="Times New Roman"/>
          <w:color w:val="000000"/>
          <w:sz w:val="24"/>
          <w:szCs w:val="24"/>
          <w:lang w:eastAsia="fr-FR"/>
        </w:rPr>
        <w:t xml:space="preserve">, même s'il a été rapporté chez l'homme une augmentation de la facilité d'écoulement par les voies usuelles (diminution de la résistance).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Des études pivots ont montré l'efficacité de </w:t>
      </w:r>
      <w:r>
        <w:rPr>
          <w:rFonts w:ascii="Times New Roman" w:eastAsia="Times New Roman" w:hAnsi="Times New Roman" w:cs="Times New Roman"/>
          <w:color w:val="000000"/>
          <w:sz w:val="24"/>
          <w:szCs w:val="24"/>
          <w:lang w:eastAsia="fr-FR"/>
        </w:rPr>
        <w:t>ce médicament</w:t>
      </w:r>
      <w:r w:rsidRPr="009302FF">
        <w:rPr>
          <w:rFonts w:ascii="Times New Roman" w:eastAsia="Times New Roman" w:hAnsi="Times New Roman" w:cs="Times New Roman"/>
          <w:color w:val="000000"/>
          <w:sz w:val="24"/>
          <w:szCs w:val="24"/>
          <w:lang w:eastAsia="fr-FR"/>
        </w:rPr>
        <w:t xml:space="preserve"> en monothérapie. De plus, des études cliniques évaluant l'utilisation de </w:t>
      </w:r>
      <w:r>
        <w:rPr>
          <w:rFonts w:ascii="Times New Roman" w:eastAsia="Times New Roman" w:hAnsi="Times New Roman" w:cs="Times New Roman"/>
          <w:color w:val="000000"/>
          <w:sz w:val="24"/>
          <w:szCs w:val="24"/>
          <w:lang w:eastAsia="fr-FR"/>
        </w:rPr>
        <w:t>ce médicament</w:t>
      </w:r>
      <w:r w:rsidRPr="009302FF">
        <w:rPr>
          <w:rFonts w:ascii="Times New Roman" w:eastAsia="Times New Roman" w:hAnsi="Times New Roman" w:cs="Times New Roman"/>
          <w:color w:val="000000"/>
          <w:sz w:val="24"/>
          <w:szCs w:val="24"/>
          <w:lang w:eastAsia="fr-FR"/>
        </w:rPr>
        <w:t xml:space="preserve"> en association ont été conduites. Elles comprennent des études montrant que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est efficace en association avec les </w:t>
      </w:r>
      <w:proofErr w:type="spellStart"/>
      <w:r w:rsidRPr="009302FF">
        <w:rPr>
          <w:rFonts w:ascii="Times New Roman" w:eastAsia="Times New Roman" w:hAnsi="Times New Roman" w:cs="Times New Roman"/>
          <w:color w:val="000000"/>
          <w:sz w:val="24"/>
          <w:szCs w:val="24"/>
          <w:lang w:eastAsia="fr-FR"/>
        </w:rPr>
        <w:t>bêta-bloquants</w:t>
      </w:r>
      <w:proofErr w:type="spellEnd"/>
      <w:r w:rsidRPr="009302FF">
        <w:rPr>
          <w:rFonts w:ascii="Times New Roman" w:eastAsia="Times New Roman" w:hAnsi="Times New Roman" w:cs="Times New Roman"/>
          <w:color w:val="000000"/>
          <w:sz w:val="24"/>
          <w:szCs w:val="24"/>
          <w:lang w:eastAsia="fr-FR"/>
        </w:rPr>
        <w:t xml:space="preserve">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Des études à court terme (1 ou 2 semaines) suggèrent un effet additif du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administré en association avec des collyres sympathomimétiques (</w:t>
      </w:r>
      <w:proofErr w:type="spellStart"/>
      <w:r w:rsidRPr="009302FF">
        <w:rPr>
          <w:rFonts w:ascii="Times New Roman" w:eastAsia="Times New Roman" w:hAnsi="Times New Roman" w:cs="Times New Roman"/>
          <w:color w:val="000000"/>
          <w:sz w:val="24"/>
          <w:szCs w:val="24"/>
          <w:lang w:eastAsia="fr-FR"/>
        </w:rPr>
        <w:t>dipivéphrine</w:t>
      </w:r>
      <w:proofErr w:type="spellEnd"/>
      <w:r w:rsidRPr="009302FF">
        <w:rPr>
          <w:rFonts w:ascii="Times New Roman" w:eastAsia="Times New Roman" w:hAnsi="Times New Roman" w:cs="Times New Roman"/>
          <w:color w:val="000000"/>
          <w:sz w:val="24"/>
          <w:szCs w:val="24"/>
          <w:lang w:eastAsia="fr-FR"/>
        </w:rPr>
        <w:t>), des inhibiteurs de l'</w:t>
      </w:r>
      <w:proofErr w:type="spellStart"/>
      <w:r w:rsidRPr="009302FF">
        <w:rPr>
          <w:rFonts w:ascii="Times New Roman" w:eastAsia="Times New Roman" w:hAnsi="Times New Roman" w:cs="Times New Roman"/>
          <w:color w:val="000000"/>
          <w:sz w:val="24"/>
          <w:szCs w:val="24"/>
          <w:lang w:eastAsia="fr-FR"/>
        </w:rPr>
        <w:t>anhydrase</w:t>
      </w:r>
      <w:proofErr w:type="spellEnd"/>
      <w:r w:rsidRPr="009302FF">
        <w:rPr>
          <w:rFonts w:ascii="Times New Roman" w:eastAsia="Times New Roman" w:hAnsi="Times New Roman" w:cs="Times New Roman"/>
          <w:color w:val="000000"/>
          <w:sz w:val="24"/>
          <w:szCs w:val="24"/>
          <w:lang w:eastAsia="fr-FR"/>
        </w:rPr>
        <w:t xml:space="preserve"> carbonique par voie orale (</w:t>
      </w:r>
      <w:proofErr w:type="spellStart"/>
      <w:r w:rsidRPr="009302FF">
        <w:rPr>
          <w:rFonts w:ascii="Times New Roman" w:eastAsia="Times New Roman" w:hAnsi="Times New Roman" w:cs="Times New Roman"/>
          <w:color w:val="000000"/>
          <w:sz w:val="24"/>
          <w:szCs w:val="24"/>
          <w:lang w:eastAsia="fr-FR"/>
        </w:rPr>
        <w:t>acétazolamide</w:t>
      </w:r>
      <w:proofErr w:type="spellEnd"/>
      <w:r w:rsidRPr="009302FF">
        <w:rPr>
          <w:rFonts w:ascii="Times New Roman" w:eastAsia="Times New Roman" w:hAnsi="Times New Roman" w:cs="Times New Roman"/>
          <w:color w:val="000000"/>
          <w:sz w:val="24"/>
          <w:szCs w:val="24"/>
          <w:lang w:eastAsia="fr-FR"/>
        </w:rPr>
        <w:t xml:space="preserve">), et un effet au moins partiellement additif avec des collyres parasympathomimétiques (pilocarpine).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Des essais cliniques ont montré que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n'a pas d'effet significatif sur la production d'humeur aqueuse. En outre, aucune action sur la barrière hémato-aqueuse n'a été observée.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Chez le singe, l'effet du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sur la circulation sanguine intraoculaire est nul ou négligeable après administration à la dose thérapeutique. Néanmoins, une hyperhémie conjonctivale ou </w:t>
      </w:r>
      <w:proofErr w:type="spellStart"/>
      <w:r w:rsidRPr="009302FF">
        <w:rPr>
          <w:rFonts w:ascii="Times New Roman" w:eastAsia="Times New Roman" w:hAnsi="Times New Roman" w:cs="Times New Roman"/>
          <w:color w:val="000000"/>
          <w:sz w:val="24"/>
          <w:szCs w:val="24"/>
          <w:lang w:eastAsia="fr-FR"/>
        </w:rPr>
        <w:t>épisclérale</w:t>
      </w:r>
      <w:proofErr w:type="spellEnd"/>
      <w:r w:rsidRPr="009302FF">
        <w:rPr>
          <w:rFonts w:ascii="Times New Roman" w:eastAsia="Times New Roman" w:hAnsi="Times New Roman" w:cs="Times New Roman"/>
          <w:color w:val="000000"/>
          <w:sz w:val="24"/>
          <w:szCs w:val="24"/>
          <w:lang w:eastAsia="fr-FR"/>
        </w:rPr>
        <w:t xml:space="preserve"> légère à modérée peut être observée lors d'un traitement local.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Après un traitement chronique par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chez le singe ayant auparavant subi une extraction du cristallin </w:t>
      </w:r>
      <w:proofErr w:type="spellStart"/>
      <w:r w:rsidRPr="009302FF">
        <w:rPr>
          <w:rFonts w:ascii="Times New Roman" w:eastAsia="Times New Roman" w:hAnsi="Times New Roman" w:cs="Times New Roman"/>
          <w:color w:val="000000"/>
          <w:sz w:val="24"/>
          <w:szCs w:val="24"/>
          <w:lang w:eastAsia="fr-FR"/>
        </w:rPr>
        <w:t>extracapsulaire</w:t>
      </w:r>
      <w:proofErr w:type="spellEnd"/>
      <w:r w:rsidRPr="009302FF">
        <w:rPr>
          <w:rFonts w:ascii="Times New Roman" w:eastAsia="Times New Roman" w:hAnsi="Times New Roman" w:cs="Times New Roman"/>
          <w:color w:val="000000"/>
          <w:sz w:val="24"/>
          <w:szCs w:val="24"/>
          <w:lang w:eastAsia="fr-FR"/>
        </w:rPr>
        <w:t xml:space="preserve">, aucune lésion des vaisseaux sanguins rétiniens n'a été mise en évidence par l'angiographie à la fluorescéine.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Un traitement à court terme par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n'a pas induit de fuite de la fluorescéine dans le segment postérieur des yeux humains </w:t>
      </w:r>
      <w:proofErr w:type="spellStart"/>
      <w:r w:rsidRPr="009302FF">
        <w:rPr>
          <w:rFonts w:ascii="Times New Roman" w:eastAsia="Times New Roman" w:hAnsi="Times New Roman" w:cs="Times New Roman"/>
          <w:color w:val="000000"/>
          <w:sz w:val="24"/>
          <w:szCs w:val="24"/>
          <w:lang w:eastAsia="fr-FR"/>
        </w:rPr>
        <w:t>pseudophaques</w:t>
      </w:r>
      <w:proofErr w:type="spellEnd"/>
      <w:r w:rsidRPr="009302FF">
        <w:rPr>
          <w:rFonts w:ascii="Times New Roman" w:eastAsia="Times New Roman" w:hAnsi="Times New Roman" w:cs="Times New Roman"/>
          <w:color w:val="000000"/>
          <w:sz w:val="24"/>
          <w:szCs w:val="24"/>
          <w:lang w:eastAsia="fr-FR"/>
        </w:rPr>
        <w:t xml:space="preserv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Administré aux doses thérapeutiques,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n'a été associé à aucun effet pharmacologique significatif sur l'appareil cardio-vasculaire ou respiratoire.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Population pédiatrique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L'efficacité du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chez des patients de ≤ 18 ans a été démontrée dans une étude clinique en double aveugle d'une durée de 12 semaines comparant le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au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chez 107 patients diagnostiqués avec une hypertension oculaire et un glaucome pédiatrique. Les nouveau-nés devaient avoir un âge gestationnel d'au moins 36 semaines. Les patients étaient randomisés soit avec du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0,005 % une fois par jour soit avec du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0,5 </w:t>
      </w:r>
      <w:r w:rsidRPr="009302FF">
        <w:rPr>
          <w:rFonts w:ascii="Times New Roman" w:eastAsia="Times New Roman" w:hAnsi="Times New Roman" w:cs="Times New Roman"/>
          <w:color w:val="000000"/>
          <w:sz w:val="24"/>
          <w:szCs w:val="24"/>
          <w:lang w:eastAsia="fr-FR"/>
        </w:rPr>
        <w:lastRenderedPageBreak/>
        <w:t xml:space="preserve">% (ou optionnellement du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0,25 % pour les patients âgés de moins de 3 ans) deux fois par jour. Le critère primaire d'efficacité était la réduction moyenne de la pression intraoculaire initiale après 12 semaines de traitement. La réduction moyenne de la pression intraoculaire était similaire dans les 2 groupes traités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et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Dans toutes les tranches d'âge étudiées (0 à &lt;3 ans, 3 à &lt;12 ans puis entre 12 et 18 ans), la réduction moyenne de la pression intraoculaire après 12 semaines de traitement dans le groupe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restait comparable à celle du groupe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Toutefois, les données d'efficacité dans le groupe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pour la tranche d'âge 0 à &lt;3 ans n'ont été recueillies que pour 13 patients et aucune efficacité pertinente n'a été observée chez les 4 patients dont l'âge était &lt;1 an dans l'étude clinique pédiatrique. Aucune donnée n'est disponible chez les enfants nés avant terme (âge gestationnel inférieur à 36 semaines).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De même, la réduction de pression intraoculaire parmi les sujets du sous-groupe souffrant de glaucome congénital/ infantile (PCG) était similaire dans les 2 groupes traités (</w:t>
      </w:r>
      <w:proofErr w:type="spellStart"/>
      <w:r w:rsidRPr="009302FF">
        <w:rPr>
          <w:rFonts w:ascii="Times New Roman" w:eastAsia="Times New Roman" w:hAnsi="Times New Roman" w:cs="Times New Roman"/>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t xml:space="preserve"> et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Des résultats comparables ont été observés dans l'autre sous-groupe (Non-PCG, ex: glaucome juvénile à angle ouvert, glaucome </w:t>
      </w:r>
      <w:proofErr w:type="spellStart"/>
      <w:r w:rsidRPr="009302FF">
        <w:rPr>
          <w:rFonts w:ascii="Times New Roman" w:eastAsia="Times New Roman" w:hAnsi="Times New Roman" w:cs="Times New Roman"/>
          <w:color w:val="000000"/>
          <w:sz w:val="24"/>
          <w:szCs w:val="24"/>
          <w:lang w:eastAsia="fr-FR"/>
        </w:rPr>
        <w:t>aphaque</w:t>
      </w:r>
      <w:proofErr w:type="spellEnd"/>
      <w:r w:rsidRPr="009302FF">
        <w:rPr>
          <w:rFonts w:ascii="Times New Roman" w:eastAsia="Times New Roman" w:hAnsi="Times New Roman" w:cs="Times New Roman"/>
          <w:color w:val="000000"/>
          <w:sz w:val="24"/>
          <w:szCs w:val="24"/>
          <w:lang w:eastAsia="fr-FR"/>
        </w:rPr>
        <w:t xml:space="preserv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L'effet du traitement sur la pression intraoculaire a été observé après la première semaine de traitement et s'est poursuivi durant les 12 semaines de l'étude, comme chez l'adulte. </w:t>
      </w:r>
    </w:p>
    <w:tbl>
      <w:tblPr>
        <w:tblW w:w="0" w:type="auto"/>
        <w:tblCellSpacing w:w="0" w:type="dxa"/>
        <w:tblCellMar>
          <w:left w:w="0" w:type="dxa"/>
          <w:right w:w="0" w:type="dxa"/>
        </w:tblCellMar>
        <w:tblLook w:val="04A0"/>
      </w:tblPr>
      <w:tblGrid>
        <w:gridCol w:w="453"/>
        <w:gridCol w:w="3122"/>
        <w:gridCol w:w="1397"/>
        <w:gridCol w:w="1397"/>
        <w:gridCol w:w="1385"/>
        <w:gridCol w:w="1382"/>
        <w:gridCol w:w="6"/>
      </w:tblGrid>
      <w:tr w:rsidR="007D7098" w:rsidRPr="009302FF" w:rsidTr="00F06659">
        <w:trPr>
          <w:trHeight w:val="240"/>
          <w:tblCellSpacing w:w="0" w:type="dxa"/>
        </w:trPr>
        <w:tc>
          <w:tcPr>
            <w:tcW w:w="10004" w:type="dxa"/>
            <w:gridSpan w:val="6"/>
            <w:tcBorders>
              <w:top w:val="single" w:sz="8" w:space="0" w:color="auto"/>
              <w:left w:val="nil"/>
              <w:bottom w:val="nil"/>
              <w:right w:val="nil"/>
            </w:tcBorders>
            <w:tcMar>
              <w:top w:w="0" w:type="dxa"/>
              <w:left w:w="70" w:type="dxa"/>
              <w:bottom w:w="0" w:type="dxa"/>
              <w:right w:w="70" w:type="dxa"/>
            </w:tcMar>
            <w:hideMark/>
          </w:tcPr>
          <w:p w:rsidR="009302FF" w:rsidRPr="009302FF" w:rsidRDefault="007D7098" w:rsidP="00F06659">
            <w:pPr>
              <w:spacing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Tableau: Réduction de la pression intraoculaire (</w:t>
            </w:r>
            <w:proofErr w:type="spellStart"/>
            <w:r w:rsidRPr="009302FF">
              <w:rPr>
                <w:rFonts w:ascii="Times New Roman" w:eastAsia="Times New Roman" w:hAnsi="Times New Roman" w:cs="Times New Roman"/>
                <w:color w:val="000000"/>
                <w:sz w:val="24"/>
                <w:szCs w:val="24"/>
                <w:lang w:eastAsia="fr-FR"/>
              </w:rPr>
              <w:t>mmHg</w:t>
            </w:r>
            <w:proofErr w:type="spellEnd"/>
            <w:r w:rsidRPr="009302FF">
              <w:rPr>
                <w:rFonts w:ascii="Times New Roman" w:eastAsia="Times New Roman" w:hAnsi="Times New Roman" w:cs="Times New Roman"/>
                <w:color w:val="000000"/>
                <w:sz w:val="24"/>
                <w:szCs w:val="24"/>
                <w:lang w:eastAsia="fr-FR"/>
              </w:rPr>
              <w:t xml:space="preserve">) après 12 semaines en fonction du groupe de traitement actif et du diagnostic au début du traitement </w:t>
            </w:r>
          </w:p>
        </w:tc>
        <w:tc>
          <w:tcPr>
            <w:tcW w:w="6" w:type="dxa"/>
            <w:tcBorders>
              <w:top w:val="nil"/>
              <w:left w:val="nil"/>
              <w:bottom w:val="nil"/>
              <w:right w:val="nil"/>
            </w:tcBorders>
            <w:vAlign w:val="center"/>
            <w:hideMark/>
          </w:tcPr>
          <w:p w:rsidR="007D7098" w:rsidRPr="009302FF" w:rsidRDefault="007D7098" w:rsidP="00F06659">
            <w:pPr>
              <w:spacing w:after="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c>
          <w:tcPr>
            <w:tcW w:w="30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proofErr w:type="spellStart"/>
            <w:r w:rsidRPr="009302FF">
              <w:rPr>
                <w:rFonts w:ascii="Times New Roman" w:eastAsia="Times New Roman" w:hAnsi="Times New Roman" w:cs="Times New Roman"/>
                <w:b/>
                <w:bCs/>
                <w:color w:val="000000"/>
                <w:sz w:val="24"/>
                <w:szCs w:val="24"/>
                <w:lang w:eastAsia="fr-FR"/>
              </w:rPr>
              <w:t>Latanoprost</w:t>
            </w:r>
            <w:proofErr w:type="spellEnd"/>
            <w:r w:rsidRPr="009302FF">
              <w:rPr>
                <w:rFonts w:ascii="Times New Roman" w:eastAsia="Times New Roman" w:hAnsi="Times New Roman" w:cs="Times New Roman"/>
                <w:color w:val="000000"/>
                <w:sz w:val="24"/>
                <w:szCs w:val="24"/>
                <w:lang w:eastAsia="fr-FR"/>
              </w:rPr>
              <w:br/>
            </w:r>
            <w:r w:rsidRPr="009302FF">
              <w:rPr>
                <w:rFonts w:ascii="Times New Roman" w:eastAsia="Times New Roman" w:hAnsi="Times New Roman" w:cs="Times New Roman"/>
                <w:b/>
                <w:bCs/>
                <w:color w:val="000000"/>
                <w:sz w:val="24"/>
                <w:szCs w:val="24"/>
                <w:lang w:eastAsia="fr-FR"/>
              </w:rPr>
              <w:t>N = 53</w:t>
            </w:r>
            <w:r w:rsidRPr="009302FF">
              <w:rPr>
                <w:rFonts w:ascii="Times New Roman" w:eastAsia="Times New Roman" w:hAnsi="Times New Roman" w:cs="Times New Roman"/>
                <w:color w:val="000000"/>
                <w:sz w:val="24"/>
                <w:szCs w:val="24"/>
                <w:lang w:eastAsia="fr-FR"/>
              </w:rPr>
              <w:t xml:space="preserve"> </w:t>
            </w:r>
          </w:p>
        </w:tc>
        <w:tc>
          <w:tcPr>
            <w:tcW w:w="3001" w:type="dxa"/>
            <w:gridSpan w:val="2"/>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proofErr w:type="spellStart"/>
            <w:r w:rsidRPr="009302FF">
              <w:rPr>
                <w:rFonts w:ascii="Times New Roman" w:eastAsia="Times New Roman" w:hAnsi="Times New Roman" w:cs="Times New Roman"/>
                <w:b/>
                <w:bCs/>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br/>
            </w:r>
            <w:r w:rsidRPr="009302FF">
              <w:rPr>
                <w:rFonts w:ascii="Times New Roman" w:eastAsia="Times New Roman" w:hAnsi="Times New Roman" w:cs="Times New Roman"/>
                <w:b/>
                <w:bCs/>
                <w:color w:val="000000"/>
                <w:sz w:val="24"/>
                <w:szCs w:val="24"/>
                <w:lang w:eastAsia="fr-FR"/>
              </w:rPr>
              <w:t>N = 54</w:t>
            </w:r>
            <w:r w:rsidRPr="009302FF">
              <w:rPr>
                <w:rFonts w:ascii="Times New Roman" w:eastAsia="Times New Roman" w:hAnsi="Times New Roman" w:cs="Times New Roman"/>
                <w:color w:val="000000"/>
                <w:sz w:val="24"/>
                <w:szCs w:val="24"/>
                <w:lang w:eastAsia="fr-FR"/>
              </w:rPr>
              <w:t xml:space="preserve"> </w:t>
            </w: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Moyenne à l'inclusion (SE) </w:t>
            </w:r>
          </w:p>
        </w:tc>
        <w:tc>
          <w:tcPr>
            <w:tcW w:w="3001" w:type="dxa"/>
            <w:gridSpan w:val="2"/>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27,3 (0,75) </w:t>
            </w:r>
          </w:p>
        </w:tc>
        <w:tc>
          <w:tcPr>
            <w:tcW w:w="3001" w:type="dxa"/>
            <w:gridSpan w:val="2"/>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27,8 (0,84) </w:t>
            </w: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Variation moyenne par rapport à la valeur initiale après 12 semaines de traitement</w:t>
            </w:r>
            <w:r w:rsidRPr="009302FF">
              <w:rPr>
                <w:rFonts w:ascii="Times New Roman" w:eastAsia="Times New Roman" w:hAnsi="Times New Roman" w:cs="Times New Roman"/>
                <w:color w:val="000000"/>
                <w:sz w:val="24"/>
                <w:szCs w:val="24"/>
                <w:vertAlign w:val="superscript"/>
                <w:lang w:eastAsia="fr-FR"/>
              </w:rPr>
              <w:t>†</w:t>
            </w:r>
            <w:r w:rsidRPr="009302FF">
              <w:rPr>
                <w:rFonts w:ascii="Times New Roman" w:eastAsia="Times New Roman" w:hAnsi="Times New Roman" w:cs="Times New Roman"/>
                <w:color w:val="000000"/>
                <w:sz w:val="24"/>
                <w:szCs w:val="24"/>
                <w:lang w:eastAsia="fr-FR"/>
              </w:rPr>
              <w:t xml:space="preserve"> (SE) </w:t>
            </w:r>
          </w:p>
        </w:tc>
        <w:tc>
          <w:tcPr>
            <w:tcW w:w="3001" w:type="dxa"/>
            <w:gridSpan w:val="2"/>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-7,18 (0,81) </w:t>
            </w:r>
          </w:p>
        </w:tc>
        <w:tc>
          <w:tcPr>
            <w:tcW w:w="3001" w:type="dxa"/>
            <w:gridSpan w:val="2"/>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-5,72 (0,81) </w:t>
            </w: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500" w:type="dxa"/>
            <w:tcBorders>
              <w:top w:val="nil"/>
              <w:left w:val="nil"/>
              <w:bottom w:val="nil"/>
              <w:right w:val="nil"/>
            </w:tcBorders>
            <w:tcMar>
              <w:top w:w="0" w:type="dxa"/>
              <w:left w:w="70" w:type="dxa"/>
              <w:bottom w:w="0" w:type="dxa"/>
              <w:right w:w="70" w:type="dxa"/>
            </w:tcMa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c>
          <w:tcPr>
            <w:tcW w:w="3501" w:type="dxa"/>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i/>
                <w:iCs/>
                <w:color w:val="000000"/>
                <w:sz w:val="24"/>
                <w:szCs w:val="24"/>
                <w:lang w:eastAsia="fr-FR"/>
              </w:rPr>
              <w:t>p</w:t>
            </w:r>
            <w:r w:rsidRPr="009302FF">
              <w:rPr>
                <w:rFonts w:ascii="Times New Roman" w:eastAsia="Times New Roman" w:hAnsi="Times New Roman" w:cs="Times New Roman"/>
                <w:color w:val="000000"/>
                <w:sz w:val="24"/>
                <w:szCs w:val="24"/>
                <w:lang w:eastAsia="fr-FR"/>
              </w:rPr>
              <w:t xml:space="preserve">-value vs.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w:t>
            </w:r>
          </w:p>
        </w:tc>
        <w:tc>
          <w:tcPr>
            <w:tcW w:w="6002" w:type="dxa"/>
            <w:gridSpan w:val="4"/>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jc w:val="center"/>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0,2056 </w:t>
            </w: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c>
          <w:tcPr>
            <w:tcW w:w="1501" w:type="dxa"/>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PCG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Non-PCG </w:t>
            </w:r>
          </w:p>
        </w:tc>
        <w:tc>
          <w:tcPr>
            <w:tcW w:w="1501" w:type="dxa"/>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PCG </w:t>
            </w:r>
          </w:p>
        </w:tc>
        <w:tc>
          <w:tcPr>
            <w:tcW w:w="1501" w:type="dxa"/>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Non-PCG </w:t>
            </w: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c>
          <w:tcPr>
            <w:tcW w:w="1501" w:type="dxa"/>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N = 28 </w:t>
            </w:r>
          </w:p>
        </w:tc>
        <w:tc>
          <w:tcPr>
            <w:tcW w:w="1501" w:type="dxa"/>
            <w:tcBorders>
              <w:top w:val="nil"/>
              <w:left w:val="nil"/>
              <w:bottom w:val="single" w:sz="8" w:space="0" w:color="auto"/>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N = 25 </w:t>
            </w:r>
          </w:p>
        </w:tc>
        <w:tc>
          <w:tcPr>
            <w:tcW w:w="1501" w:type="dxa"/>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N = 26 </w:t>
            </w:r>
          </w:p>
        </w:tc>
        <w:tc>
          <w:tcPr>
            <w:tcW w:w="1501" w:type="dxa"/>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N = 28 </w:t>
            </w: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r w:rsidR="007D7098" w:rsidRPr="009302FF" w:rsidTr="00F06659">
        <w:trPr>
          <w:trHeight w:val="240"/>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Moyenne à l'inclusion (SE)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26,5 (0,72)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28,2 (1,37)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26,3 (0,95) </w:t>
            </w:r>
          </w:p>
        </w:tc>
        <w:tc>
          <w:tcPr>
            <w:tcW w:w="1501" w:type="dxa"/>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29,1 (1,33) </w:t>
            </w:r>
          </w:p>
        </w:tc>
        <w:tc>
          <w:tcPr>
            <w:tcW w:w="6" w:type="dxa"/>
            <w:tcBorders>
              <w:top w:val="nil"/>
              <w:left w:val="nil"/>
              <w:bottom w:val="nil"/>
              <w:right w:val="nil"/>
            </w:tcBorders>
            <w:vAlign w:val="center"/>
            <w:hideMark/>
          </w:tcPr>
          <w:p w:rsidR="007D7098" w:rsidRPr="009302FF" w:rsidRDefault="007D7098" w:rsidP="00F06659">
            <w:pPr>
              <w:spacing w:after="0" w:line="240" w:lineRule="auto"/>
              <w:rPr>
                <w:rFonts w:ascii="Times New Roman" w:eastAsia="Times New Roman" w:hAnsi="Times New Roman" w:cs="Times New Roman"/>
                <w:color w:val="000000"/>
                <w:sz w:val="24"/>
                <w:szCs w:val="24"/>
                <w:lang w:eastAsia="fr-FR"/>
              </w:rPr>
            </w:pPr>
          </w:p>
        </w:tc>
      </w:tr>
      <w:tr w:rsidR="007D7098" w:rsidRPr="009302FF" w:rsidTr="00F06659">
        <w:trPr>
          <w:trHeight w:val="240"/>
          <w:tblCellSpacing w:w="0" w:type="dxa"/>
        </w:trPr>
        <w:tc>
          <w:tcPr>
            <w:tcW w:w="4002" w:type="dxa"/>
            <w:gridSpan w:val="2"/>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Variation moyenne par rapport à la valeur initiale après 12 semaines de traitement</w:t>
            </w:r>
            <w:r w:rsidRPr="009302FF">
              <w:rPr>
                <w:rFonts w:ascii="Times New Roman" w:eastAsia="Times New Roman" w:hAnsi="Times New Roman" w:cs="Times New Roman"/>
                <w:color w:val="000000"/>
                <w:sz w:val="24"/>
                <w:szCs w:val="24"/>
                <w:vertAlign w:val="superscript"/>
                <w:lang w:eastAsia="fr-FR"/>
              </w:rPr>
              <w:t>†</w:t>
            </w:r>
            <w:r w:rsidRPr="009302FF">
              <w:rPr>
                <w:rFonts w:ascii="Times New Roman" w:eastAsia="Times New Roman" w:hAnsi="Times New Roman" w:cs="Times New Roman"/>
                <w:color w:val="000000"/>
                <w:sz w:val="24"/>
                <w:szCs w:val="24"/>
                <w:lang w:eastAsia="fr-FR"/>
              </w:rPr>
              <w:t xml:space="preserve"> (SE)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-5,90 (0,98)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-8,66 (1,25) </w:t>
            </w:r>
          </w:p>
        </w:tc>
        <w:tc>
          <w:tcPr>
            <w:tcW w:w="1501" w:type="dxa"/>
            <w:tcBorders>
              <w:top w:val="nil"/>
              <w:left w:val="nil"/>
              <w:bottom w:val="nil"/>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-5,34 (1,02) </w:t>
            </w:r>
          </w:p>
        </w:tc>
        <w:tc>
          <w:tcPr>
            <w:tcW w:w="1501" w:type="dxa"/>
            <w:tcBorders>
              <w:top w:val="nil"/>
              <w:left w:val="nil"/>
              <w:bottom w:val="nil"/>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-6,02 (1,18) </w:t>
            </w:r>
          </w:p>
        </w:tc>
        <w:tc>
          <w:tcPr>
            <w:tcW w:w="6" w:type="dxa"/>
            <w:tcBorders>
              <w:top w:val="nil"/>
              <w:left w:val="nil"/>
              <w:bottom w:val="nil"/>
              <w:right w:val="nil"/>
            </w:tcBorders>
            <w:vAlign w:val="center"/>
            <w:hideMark/>
          </w:tcPr>
          <w:p w:rsidR="007D7098" w:rsidRPr="009302FF" w:rsidRDefault="007D7098" w:rsidP="00F06659">
            <w:pPr>
              <w:spacing w:after="0" w:line="240" w:lineRule="auto"/>
              <w:rPr>
                <w:rFonts w:ascii="Times New Roman" w:eastAsia="Times New Roman" w:hAnsi="Times New Roman" w:cs="Times New Roman"/>
                <w:color w:val="000000"/>
                <w:sz w:val="24"/>
                <w:szCs w:val="24"/>
                <w:lang w:eastAsia="fr-FR"/>
              </w:rPr>
            </w:pPr>
          </w:p>
        </w:tc>
      </w:tr>
      <w:tr w:rsidR="007D7098" w:rsidRPr="009302FF" w:rsidTr="00F06659">
        <w:trPr>
          <w:tblCellSpacing w:w="0" w:type="dxa"/>
        </w:trPr>
        <w:tc>
          <w:tcPr>
            <w:tcW w:w="500" w:type="dxa"/>
            <w:tcBorders>
              <w:top w:val="nil"/>
              <w:left w:val="nil"/>
              <w:bottom w:val="single" w:sz="8" w:space="0" w:color="auto"/>
              <w:right w:val="nil"/>
            </w:tcBorders>
            <w:tcMar>
              <w:top w:w="0" w:type="dxa"/>
              <w:left w:w="70" w:type="dxa"/>
              <w:bottom w:w="0" w:type="dxa"/>
              <w:right w:w="70" w:type="dxa"/>
            </w:tcMa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c>
          <w:tcPr>
            <w:tcW w:w="3501" w:type="dxa"/>
            <w:tcBorders>
              <w:top w:val="nil"/>
              <w:left w:val="nil"/>
              <w:bottom w:val="single" w:sz="8" w:space="0" w:color="auto"/>
              <w:right w:val="nil"/>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i/>
                <w:iCs/>
                <w:color w:val="000000"/>
                <w:sz w:val="24"/>
                <w:szCs w:val="24"/>
                <w:lang w:eastAsia="fr-FR"/>
              </w:rPr>
              <w:t>p</w:t>
            </w:r>
            <w:r w:rsidRPr="009302FF">
              <w:rPr>
                <w:rFonts w:ascii="Times New Roman" w:eastAsia="Times New Roman" w:hAnsi="Times New Roman" w:cs="Times New Roman"/>
                <w:color w:val="000000"/>
                <w:sz w:val="24"/>
                <w:szCs w:val="24"/>
                <w:lang w:eastAsia="fr-FR"/>
              </w:rPr>
              <w:t xml:space="preserve">-value vs. </w:t>
            </w:r>
            <w:proofErr w:type="spellStart"/>
            <w:r w:rsidRPr="009302FF">
              <w:rPr>
                <w:rFonts w:ascii="Times New Roman" w:eastAsia="Times New Roman" w:hAnsi="Times New Roman" w:cs="Times New Roman"/>
                <w:color w:val="000000"/>
                <w:sz w:val="24"/>
                <w:szCs w:val="24"/>
                <w:lang w:eastAsia="fr-FR"/>
              </w:rPr>
              <w:t>timolol</w:t>
            </w:r>
            <w:proofErr w:type="spellEnd"/>
            <w:r w:rsidRPr="009302FF">
              <w:rPr>
                <w:rFonts w:ascii="Times New Roman" w:eastAsia="Times New Roman" w:hAnsi="Times New Roman" w:cs="Times New Roman"/>
                <w:color w:val="000000"/>
                <w:sz w:val="24"/>
                <w:szCs w:val="24"/>
                <w:lang w:eastAsia="fr-FR"/>
              </w:rPr>
              <w:t xml:space="preserve"> </w:t>
            </w:r>
          </w:p>
        </w:tc>
        <w:tc>
          <w:tcPr>
            <w:tcW w:w="1501" w:type="dxa"/>
            <w:tcBorders>
              <w:top w:val="nil"/>
              <w:left w:val="nil"/>
              <w:bottom w:val="single" w:sz="8" w:space="0" w:color="auto"/>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0,6957 </w:t>
            </w:r>
          </w:p>
        </w:tc>
        <w:tc>
          <w:tcPr>
            <w:tcW w:w="1501" w:type="dxa"/>
            <w:tcBorders>
              <w:top w:val="nil"/>
              <w:left w:val="nil"/>
              <w:bottom w:val="single" w:sz="8" w:space="0" w:color="auto"/>
              <w:right w:val="single" w:sz="8" w:space="0" w:color="auto"/>
            </w:tcBorders>
            <w:tcMar>
              <w:top w:w="0" w:type="dxa"/>
              <w:left w:w="70" w:type="dxa"/>
              <w:bottom w:w="0" w:type="dxa"/>
              <w:right w:w="70" w:type="dxa"/>
            </w:tcMar>
            <w:hideMark/>
          </w:tcPr>
          <w:p w:rsidR="009302FF" w:rsidRPr="009302FF" w:rsidRDefault="007D7098" w:rsidP="00F06659">
            <w:pPr>
              <w:spacing w:before="100" w:beforeAutospacing="1" w:after="0"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0,1317 </w:t>
            </w:r>
          </w:p>
        </w:tc>
        <w:tc>
          <w:tcPr>
            <w:tcW w:w="3001" w:type="dxa"/>
            <w:gridSpan w:val="2"/>
            <w:tcBorders>
              <w:top w:val="nil"/>
              <w:left w:val="nil"/>
              <w:bottom w:val="single" w:sz="8" w:space="0" w:color="auto"/>
              <w:right w:val="nil"/>
            </w:tcBorders>
            <w:tcMar>
              <w:top w:w="0" w:type="dxa"/>
              <w:left w:w="70" w:type="dxa"/>
              <w:bottom w:w="0" w:type="dxa"/>
              <w:right w:w="70" w:type="dxa"/>
            </w:tcMa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c>
          <w:tcPr>
            <w:tcW w:w="6" w:type="dxa"/>
            <w:tcBorders>
              <w:top w:val="nil"/>
              <w:left w:val="nil"/>
              <w:bottom w:val="nil"/>
              <w:right w:val="nil"/>
            </w:tcBorders>
            <w:vAlign w:val="center"/>
            <w:hideMark/>
          </w:tcPr>
          <w:p w:rsidR="007D7098" w:rsidRPr="009302FF" w:rsidRDefault="007D7098" w:rsidP="00F06659">
            <w:pPr>
              <w:spacing w:after="240" w:line="240" w:lineRule="auto"/>
              <w:rPr>
                <w:rFonts w:ascii="Times New Roman" w:eastAsia="Times New Roman" w:hAnsi="Times New Roman" w:cs="Times New Roman"/>
                <w:color w:val="000000"/>
                <w:sz w:val="24"/>
                <w:szCs w:val="24"/>
                <w:lang w:eastAsia="fr-FR"/>
              </w:rPr>
            </w:pPr>
          </w:p>
        </w:tc>
      </w:tr>
    </w:tbl>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lang w:eastAsia="fr-FR"/>
        </w:rPr>
        <w:t xml:space="preserve">SE: écart à la moyenne, </w:t>
      </w:r>
    </w:p>
    <w:p w:rsidR="007D7098" w:rsidRPr="009302FF" w:rsidRDefault="007D7098" w:rsidP="007D70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2FF">
        <w:rPr>
          <w:rFonts w:ascii="Times New Roman" w:eastAsia="Times New Roman" w:hAnsi="Times New Roman" w:cs="Times New Roman"/>
          <w:color w:val="000000"/>
          <w:sz w:val="24"/>
          <w:szCs w:val="24"/>
          <w:vertAlign w:val="superscript"/>
          <w:lang w:eastAsia="fr-FR"/>
        </w:rPr>
        <w:t>†</w:t>
      </w:r>
      <w:r w:rsidRPr="009302FF">
        <w:rPr>
          <w:rFonts w:ascii="Times New Roman" w:eastAsia="Times New Roman" w:hAnsi="Times New Roman" w:cs="Times New Roman"/>
          <w:color w:val="000000"/>
          <w:sz w:val="24"/>
          <w:szCs w:val="24"/>
          <w:lang w:eastAsia="fr-FR"/>
        </w:rPr>
        <w:t xml:space="preserve">Moyenne ajustée basée sur le modèle d'analyse de covariance (ANCOVA).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7D7098"/>
    <w:rsid w:val="00017B31"/>
    <w:rsid w:val="0006330F"/>
    <w:rsid w:val="0009769E"/>
    <w:rsid w:val="000C4178"/>
    <w:rsid w:val="00120A2B"/>
    <w:rsid w:val="001931B1"/>
    <w:rsid w:val="001A53D5"/>
    <w:rsid w:val="00282113"/>
    <w:rsid w:val="003164DC"/>
    <w:rsid w:val="00370323"/>
    <w:rsid w:val="004276C2"/>
    <w:rsid w:val="004771A7"/>
    <w:rsid w:val="004E7AC3"/>
    <w:rsid w:val="00587FAE"/>
    <w:rsid w:val="00610963"/>
    <w:rsid w:val="0062264F"/>
    <w:rsid w:val="00673C6F"/>
    <w:rsid w:val="006A4DC8"/>
    <w:rsid w:val="006D4445"/>
    <w:rsid w:val="0070624C"/>
    <w:rsid w:val="007628F0"/>
    <w:rsid w:val="0078077B"/>
    <w:rsid w:val="007A24F8"/>
    <w:rsid w:val="007D709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2013-02-10T23:40:00Z</dcterms:created>
  <dcterms:modified xsi:type="dcterms:W3CDTF">2013-02-10T23:41:00Z</dcterms:modified>
</cp:coreProperties>
</file>